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502" w:rsidRPr="00F43445" w:rsidRDefault="00C06502" w:rsidP="00C06502">
      <w:pPr>
        <w:jc w:val="center"/>
        <w:rPr>
          <w:b/>
          <w:color w:val="000000"/>
          <w:sz w:val="22"/>
        </w:rPr>
      </w:pPr>
      <w:r w:rsidRPr="00F43445">
        <w:rPr>
          <w:b/>
          <w:sz w:val="22"/>
          <w:szCs w:val="22"/>
        </w:rPr>
        <w:t>DESCRIPTION OF THE WORK</w:t>
      </w:r>
    </w:p>
    <w:p w:rsidR="00C06502" w:rsidRPr="00F43445" w:rsidRDefault="00C06502" w:rsidP="00C06502">
      <w:pPr>
        <w:rPr>
          <w:color w:val="000000"/>
          <w:sz w:val="22"/>
        </w:rPr>
      </w:pPr>
    </w:p>
    <w:p w:rsidR="00C06502" w:rsidRPr="00F43445" w:rsidRDefault="005740B0" w:rsidP="00C06502">
      <w:pPr>
        <w:pStyle w:val="BodyText"/>
        <w:ind w:firstLine="0"/>
        <w:jc w:val="center"/>
        <w:rPr>
          <w:b/>
        </w:rPr>
      </w:pPr>
      <w:r w:rsidRPr="00F43445">
        <w:rPr>
          <w:b/>
        </w:rPr>
        <w:t xml:space="preserve">Measuring progress towards green economy </w:t>
      </w:r>
      <w:r w:rsidRPr="00F43445">
        <w:rPr>
          <w:b/>
        </w:rPr>
        <w:br/>
        <w:t>in the Republic of Moldova:</w:t>
      </w:r>
      <w:r w:rsidR="00C06502" w:rsidRPr="00F43445">
        <w:rPr>
          <w:b/>
        </w:rPr>
        <w:br/>
        <w:t>Draft Terms of Reference for the production of an indicator-based report</w:t>
      </w:r>
    </w:p>
    <w:p w:rsidR="00C06502" w:rsidRPr="00F43445" w:rsidRDefault="00C06502" w:rsidP="00C06502">
      <w:pPr>
        <w:pStyle w:val="BodyText"/>
        <w:jc w:val="center"/>
        <w:rPr>
          <w:b/>
        </w:rPr>
      </w:pPr>
    </w:p>
    <w:p w:rsidR="00C06502" w:rsidRPr="00F43445" w:rsidRDefault="00C06502" w:rsidP="00C06502">
      <w:pPr>
        <w:pStyle w:val="Heading2"/>
        <w:tabs>
          <w:tab w:val="clear" w:pos="4613"/>
          <w:tab w:val="num" w:pos="567"/>
        </w:tabs>
        <w:ind w:hanging="3533"/>
        <w:jc w:val="left"/>
        <w:rPr>
          <w:b/>
          <w:color w:val="000000"/>
          <w:sz w:val="22"/>
          <w:lang w:val="en-GB"/>
        </w:rPr>
      </w:pPr>
      <w:r w:rsidRPr="00F43445">
        <w:rPr>
          <w:b/>
          <w:color w:val="000000"/>
          <w:sz w:val="22"/>
          <w:lang w:val="en-GB"/>
        </w:rPr>
        <w:t xml:space="preserve">Background information </w:t>
      </w:r>
    </w:p>
    <w:p w:rsidR="00C06502" w:rsidRPr="00F43445" w:rsidRDefault="00C06502" w:rsidP="00C06502"/>
    <w:p w:rsidR="00C06502" w:rsidRPr="00F43445" w:rsidRDefault="00C06502" w:rsidP="00C06502">
      <w:pPr>
        <w:pStyle w:val="BodyText"/>
        <w:rPr>
          <w:szCs w:val="22"/>
        </w:rPr>
      </w:pPr>
      <w:r w:rsidRPr="00F43445">
        <w:t>The Moldovan Government has committed itself to decoupling economic growth from environmental objectives, a commitment which is being jointly pursued by the six Eastern Partnership (EaP) countries within a new regional programme “</w:t>
      </w:r>
      <w:r w:rsidRPr="00F43445">
        <w:rPr>
          <w:color w:val="222222"/>
        </w:rPr>
        <w:t>Greening Economies in the Eastern Neighbourhood</w:t>
      </w:r>
      <w:r w:rsidRPr="00F43445">
        <w:t xml:space="preserve"> (EaP GREEN)”. The Programme was designed and launched in cooperation with the EaP governments following their Warsaw Summit in September 2011, and aims to help countries to ensure that the commitments made in this and other international forums, such as the “Rio+20” Summit, are fulfilled. The EaP GREEN is principally financed by the European Union. Its implementation will span 48 months, having commenced in January 2013, and is supported by four international organisations: the </w:t>
      </w:r>
      <w:r w:rsidRPr="00F43445">
        <w:rPr>
          <w:szCs w:val="22"/>
        </w:rPr>
        <w:t xml:space="preserve">Organization for Economic Cooperation and Development (OECD, programme’s coordinator); United Nations Economic Commission for Europe (UNECE), United Nations Environmental Programme (UNEP), and United Nation Industrial Development Organisation (UNIDO). While predominately a regional programme, EaP GREEN also supports pilot projects and capacity development at the national level. </w:t>
      </w:r>
    </w:p>
    <w:p w:rsidR="00C06502" w:rsidRPr="00F43445" w:rsidRDefault="00C06502" w:rsidP="00C06502">
      <w:pPr>
        <w:pStyle w:val="BodyText"/>
      </w:pPr>
      <w:r w:rsidRPr="00F43445">
        <w:t xml:space="preserve">As part of the national level activities in Moldova, a workshop on “Measuring progress towards green economy: prospects for action” took place on 7 June 2013 in Chisinau. Follow-up scoping discussions with the Ministry of Economy, the Ministry of Environment and the National Statistical Bureau were conducted in October 2013. As a result, it was agreed that a national-level pilot project would be implemented in order to develop a road map for the adaptation of the OECD set of Green Growth Indicators (GGIs) to specific Moldavian needs and contexts. </w:t>
      </w:r>
    </w:p>
    <w:p w:rsidR="00C06502" w:rsidRPr="00F43445" w:rsidRDefault="00C06502" w:rsidP="00C06502">
      <w:pPr>
        <w:pStyle w:val="Heading2"/>
        <w:tabs>
          <w:tab w:val="clear" w:pos="4613"/>
          <w:tab w:val="num" w:pos="567"/>
        </w:tabs>
        <w:ind w:hanging="3533"/>
        <w:jc w:val="left"/>
        <w:rPr>
          <w:b/>
          <w:color w:val="000000"/>
          <w:sz w:val="22"/>
          <w:lang w:val="en-GB"/>
        </w:rPr>
      </w:pPr>
      <w:r w:rsidRPr="00F43445">
        <w:rPr>
          <w:b/>
          <w:color w:val="000000"/>
          <w:sz w:val="22"/>
          <w:lang w:val="en-GB"/>
        </w:rPr>
        <w:t>Objectives, outputs and tasks</w:t>
      </w:r>
    </w:p>
    <w:p w:rsidR="00C06502" w:rsidRPr="00F43445" w:rsidRDefault="00C06502" w:rsidP="00C06502">
      <w:bookmarkStart w:id="0" w:name="_GoBack"/>
      <w:bookmarkEnd w:id="0"/>
    </w:p>
    <w:p w:rsidR="00C06502" w:rsidRPr="00F43445" w:rsidRDefault="00C06502" w:rsidP="00C06502">
      <w:pPr>
        <w:pStyle w:val="BodyText"/>
      </w:pPr>
      <w:r w:rsidRPr="00F43445">
        <w:t>The Consultant will provide input to the development and testing of a national set of green growth indicators in Moldova, based on the OECD set, and the experience gained from testing this set in other OECD and non-OECD countries. The main tasks within this assignment include:</w:t>
      </w:r>
    </w:p>
    <w:p w:rsidR="00C06502" w:rsidRPr="00F43445" w:rsidRDefault="00C06502" w:rsidP="00C06502">
      <w:pPr>
        <w:pStyle w:val="ListBullet"/>
      </w:pPr>
      <w:r w:rsidRPr="00F43445">
        <w:t>Development of the outline for an indicator-based report,proceeding from a generic outline that will be provided by the OECD secretariat and consultations with key stakeholders;</w:t>
      </w:r>
    </w:p>
    <w:p w:rsidR="00C06502" w:rsidRPr="00F43445" w:rsidRDefault="00C06502" w:rsidP="00C06502">
      <w:pPr>
        <w:pStyle w:val="ListBullet"/>
      </w:pPr>
      <w:r w:rsidRPr="00F43445">
        <w:t>Data collection, verification and analysis for relevant indicators that are already in use (or could be derived from existing indicators);</w:t>
      </w:r>
    </w:p>
    <w:p w:rsidR="00C06502" w:rsidRPr="00F43445" w:rsidRDefault="00C06502" w:rsidP="00C06502">
      <w:pPr>
        <w:pStyle w:val="ListBullet"/>
      </w:pPr>
      <w:r w:rsidRPr="00F43445">
        <w:t>Development of a draft report, including recommendations, based on data analysis;</w:t>
      </w:r>
    </w:p>
    <w:p w:rsidR="00C06502" w:rsidRPr="00F43445" w:rsidRDefault="00C06502" w:rsidP="00C06502">
      <w:pPr>
        <w:pStyle w:val="ListBullet"/>
      </w:pPr>
      <w:r w:rsidRPr="00F43445">
        <w:t>Conducting consultations on the draft report, collecting written comments and amending the report, where relevant;</w:t>
      </w:r>
    </w:p>
    <w:p w:rsidR="00C06502" w:rsidRPr="00F43445" w:rsidRDefault="00C06502" w:rsidP="00C06502">
      <w:pPr>
        <w:pStyle w:val="ListBullet"/>
      </w:pPr>
      <w:r w:rsidRPr="00F43445">
        <w:t>Finalisation and publication of the report in English and Romanian;</w:t>
      </w:r>
    </w:p>
    <w:p w:rsidR="00C06502" w:rsidRPr="00F43445" w:rsidRDefault="00C06502" w:rsidP="00C06502">
      <w:pPr>
        <w:pStyle w:val="ListBullet"/>
      </w:pPr>
      <w:r w:rsidRPr="00F43445">
        <w:t>Conducting a communication campaign to launch the report;</w:t>
      </w:r>
    </w:p>
    <w:p w:rsidR="00C06502" w:rsidRPr="00F43445" w:rsidRDefault="00C06502" w:rsidP="00C06502">
      <w:pPr>
        <w:pStyle w:val="ListBullet"/>
      </w:pPr>
      <w:r w:rsidRPr="00F43445">
        <w:lastRenderedPageBreak/>
        <w:t xml:space="preserve">Providing feedback on indicators that need to be elaborated in the future. </w:t>
      </w:r>
    </w:p>
    <w:p w:rsidR="00C06502" w:rsidRPr="00F43445" w:rsidRDefault="00C06502" w:rsidP="00C06502">
      <w:pPr>
        <w:pStyle w:val="BodyText"/>
      </w:pPr>
      <w:r w:rsidRPr="00F43445">
        <w:t xml:space="preserve">In order to support this process, the partner government authorities agreed to establish a Working Group (WG) on GGIs. Its activities will be co-chaired by the Ministry of Economy, the Ministry of Environment and the National Statistical Bureau. The Consultant will facilitate 3-4 meetings of the Working Group: (i) to discuss data availability; (ii) to discuss a first draft of the report; (iii) to validate key policy messages of the final draft report. </w:t>
      </w:r>
    </w:p>
    <w:p w:rsidR="00C06502" w:rsidRPr="00F43445" w:rsidRDefault="00C06502" w:rsidP="00C06502">
      <w:pPr>
        <w:pStyle w:val="BodyText"/>
      </w:pPr>
      <w:r w:rsidRPr="00F43445">
        <w:t xml:space="preserve">Several bodies should be invited to delegate their permanent representatives to the WG. These include: the Ministry of Economy and its divisions and sub-divisions; the Ministry of Environment and its subdivisions; the National Bureau of Statistics; the Ministry of Agriculture and Food Industry; the Ministry of Labour, Social Protection and Family; the Ministry of Health, as well as other relevant governmental agencies and NGOs. </w:t>
      </w:r>
    </w:p>
    <w:p w:rsidR="00C06502" w:rsidRPr="00F43445" w:rsidRDefault="00C06502" w:rsidP="00C06502">
      <w:pPr>
        <w:pStyle w:val="BodyText"/>
      </w:pPr>
      <w:r w:rsidRPr="00F43445">
        <w:t>The Consultant will keep the OECD Programme Manager informed of developments and will consult the Programme Manager prior to any external communication. In addition, the National Focal Points of EaP GREEN programme will also need to be regularly informed and consulted.</w:t>
      </w:r>
    </w:p>
    <w:p w:rsidR="00C06502" w:rsidRPr="00F43445" w:rsidRDefault="00C06502" w:rsidP="00C06502">
      <w:pPr>
        <w:pStyle w:val="Heading2"/>
        <w:tabs>
          <w:tab w:val="clear" w:pos="4613"/>
          <w:tab w:val="num" w:pos="567"/>
        </w:tabs>
        <w:ind w:hanging="3533"/>
        <w:jc w:val="left"/>
        <w:rPr>
          <w:b/>
          <w:color w:val="000000"/>
          <w:sz w:val="22"/>
          <w:lang w:val="en-GB"/>
        </w:rPr>
      </w:pPr>
      <w:r w:rsidRPr="00F43445">
        <w:rPr>
          <w:b/>
          <w:color w:val="000000"/>
          <w:sz w:val="22"/>
          <w:lang w:val="en-GB"/>
        </w:rPr>
        <w:t xml:space="preserve">Purpose and scope of the pilot report on GGIs </w:t>
      </w:r>
    </w:p>
    <w:p w:rsidR="00C06502" w:rsidRPr="00F43445" w:rsidRDefault="00C06502" w:rsidP="00C06502"/>
    <w:p w:rsidR="00C06502" w:rsidRPr="00F43445" w:rsidRDefault="00C06502" w:rsidP="00C06502">
      <w:pPr>
        <w:pStyle w:val="BodyText"/>
      </w:pPr>
      <w:r w:rsidRPr="00F43445">
        <w:t>The pilot report will aim to provide a concise, evidence-based picture of progress toward green economy development in the Republic of Moldova. The report will attempt to shed light on the following questions:</w:t>
      </w:r>
    </w:p>
    <w:p w:rsidR="00C06502" w:rsidRPr="00F43445" w:rsidRDefault="00C06502" w:rsidP="00C06502">
      <w:pPr>
        <w:pStyle w:val="ListBullet"/>
        <w:jc w:val="left"/>
        <w:rPr>
          <w:lang w:val="en-US"/>
        </w:rPr>
      </w:pPr>
      <w:r w:rsidRPr="00F43445">
        <w:t xml:space="preserve">Have </w:t>
      </w:r>
      <w:r w:rsidRPr="00F43445">
        <w:rPr>
          <w:lang w:val="en-US"/>
        </w:rPr>
        <w:t xml:space="preserve">production and consumption patterns in Moldova been improving over the last two decades in terms of environmental and resource productivity? </w:t>
      </w:r>
    </w:p>
    <w:p w:rsidR="00C06502" w:rsidRPr="00F43445" w:rsidRDefault="00C06502" w:rsidP="00C06502">
      <w:pPr>
        <w:pStyle w:val="ListBullet"/>
        <w:jc w:val="left"/>
      </w:pPr>
      <w:r w:rsidRPr="00F43445">
        <w:t xml:space="preserve">Is there a risk of shocks to growth and social development stemming from qualitative and quantitative alterations of the natural asset base, the deterioration of its services, and environmental pressures more generally? </w:t>
      </w:r>
    </w:p>
    <w:p w:rsidR="00C06502" w:rsidRPr="00F43445" w:rsidRDefault="00C06502" w:rsidP="00C06502">
      <w:pPr>
        <w:pStyle w:val="ListBullet"/>
        <w:jc w:val="left"/>
      </w:pPr>
      <w:r w:rsidRPr="00F43445">
        <w:t xml:space="preserve">Do current policies result in a better environmental quality of life for all? </w:t>
      </w:r>
    </w:p>
    <w:p w:rsidR="00C06502" w:rsidRPr="00F43445" w:rsidRDefault="00C06502" w:rsidP="00C06502">
      <w:pPr>
        <w:pStyle w:val="ListBullet"/>
        <w:jc w:val="left"/>
      </w:pPr>
      <w:r w:rsidRPr="00F43445">
        <w:t xml:space="preserve">Are existing measures to </w:t>
      </w:r>
      <w:r w:rsidRPr="00F43445">
        <w:rPr>
          <w:bCs/>
          <w:iCs/>
          <w:lang w:val="en-US"/>
        </w:rPr>
        <w:t>open up new sources of growth</w:t>
      </w:r>
      <w:r w:rsidRPr="00F43445">
        <w:t>and promote green growth effective? Do they correspond to good international practice?</w:t>
      </w:r>
    </w:p>
    <w:p w:rsidR="00C06502" w:rsidRPr="00F43445" w:rsidRDefault="00C06502" w:rsidP="00C06502">
      <w:pPr>
        <w:pStyle w:val="ListBullet"/>
        <w:jc w:val="left"/>
      </w:pPr>
      <w:r w:rsidRPr="00F43445">
        <w:t>How could policies be adapted to promote green growth in the country’s context?</w:t>
      </w:r>
    </w:p>
    <w:p w:rsidR="00C06502" w:rsidRPr="00F43445" w:rsidRDefault="00C06502" w:rsidP="00C06502">
      <w:pPr>
        <w:pStyle w:val="BodyText"/>
      </w:pPr>
      <w:r w:rsidRPr="00F43445">
        <w:t xml:space="preserve">The Consultant will analyse trends over the greatest possible time series, or at least using 2000 as a baseline, will compare actual performance with targets set by the Government, and will conduct international benchmarking using the data sets that will be offered by the OECD secretariat. Comparison should be made with OECD and EU averages, as well as performance in selected countries, especially members of the European Union. </w:t>
      </w:r>
    </w:p>
    <w:p w:rsidR="00C06502" w:rsidRPr="00F43445" w:rsidRDefault="00C06502" w:rsidP="00C06502">
      <w:pPr>
        <w:pStyle w:val="BodyText"/>
      </w:pPr>
      <w:r w:rsidRPr="00F43445">
        <w:t>The report will be structured in five to six chapters. There should be one chapter per each group of indicators that are part of the OECD set, taking account of national policy priorities and an initial analysis of concordance conducted by OECD. These groups include:</w:t>
      </w:r>
    </w:p>
    <w:p w:rsidR="00C06502" w:rsidRPr="00F43445" w:rsidRDefault="00C06502" w:rsidP="00C06502">
      <w:pPr>
        <w:pStyle w:val="ListBullet"/>
        <w:rPr>
          <w:lang w:val="en-US"/>
        </w:rPr>
      </w:pPr>
      <w:r w:rsidRPr="00F43445">
        <w:rPr>
          <w:b/>
          <w:i/>
          <w:lang w:val="en-US"/>
        </w:rPr>
        <w:t>Group 1 indicators – Environmental and resource productivity</w:t>
      </w:r>
      <w:r w:rsidRPr="00F43445">
        <w:rPr>
          <w:lang w:val="en-US"/>
        </w:rPr>
        <w:t xml:space="preserve">: Concordance between national statistics and OECD GGIs is medium in this area, with good progress recently made on the </w:t>
      </w:r>
      <w:r w:rsidRPr="00F43445">
        <w:rPr>
          <w:lang w:val="en-US"/>
        </w:rPr>
        <w:lastRenderedPageBreak/>
        <w:t xml:space="preserve">carbon productivity and energy efficiency measurement. Energy efficiency is one of the priority areas of the “Moldova 2020” Development Strategy and therefore should receive particular attention. The Consultant will have to take into account the fact that data on material flows remains scarce and material productivity is therefore difficult to measure in Moldova, particularly in relation to waste streams. Improvements are envisaged as part of the Ministry of Environment’s work to strengthen waste management in the country; </w:t>
      </w:r>
    </w:p>
    <w:p w:rsidR="00C06502" w:rsidRPr="00F43445" w:rsidRDefault="00C06502" w:rsidP="00C06502">
      <w:pPr>
        <w:pStyle w:val="ListBullet"/>
        <w:rPr>
          <w:lang w:val="en-US"/>
        </w:rPr>
      </w:pPr>
      <w:r w:rsidRPr="00F43445">
        <w:rPr>
          <w:b/>
          <w:i/>
          <w:lang w:val="en-US"/>
        </w:rPr>
        <w:t>Group 2 indicators – Natural assets base:</w:t>
      </w:r>
      <w:r w:rsidRPr="00F43445">
        <w:rPr>
          <w:lang w:val="en-US"/>
        </w:rPr>
        <w:t xml:space="preserve"> In this area, concordance is low-to-medium. Water and land cadastres exists but are very limited. While forestry and underground mineral resources inventories are performed, the data is not publically accessible. The structure of land-uses is relatively well known. Costs related to land degradation are periodically assessed. Information on protected areas and biodiversity is publicly available;</w:t>
      </w:r>
    </w:p>
    <w:p w:rsidR="00C06502" w:rsidRPr="00F43445" w:rsidRDefault="00C06502" w:rsidP="00C06502">
      <w:pPr>
        <w:pStyle w:val="ListBullet"/>
      </w:pPr>
      <w:r w:rsidRPr="00F43445">
        <w:rPr>
          <w:b/>
          <w:i/>
        </w:rPr>
        <w:t xml:space="preserve">Group 3 </w:t>
      </w:r>
      <w:r w:rsidRPr="00F43445">
        <w:rPr>
          <w:b/>
          <w:i/>
          <w:lang w:val="en-US"/>
        </w:rPr>
        <w:t xml:space="preserve">indicators </w:t>
      </w:r>
      <w:r w:rsidRPr="00F43445">
        <w:rPr>
          <w:b/>
          <w:i/>
        </w:rPr>
        <w:t>– Environmental quality of life</w:t>
      </w:r>
      <w:r w:rsidRPr="00F43445">
        <w:t>: A set of indicators in the field of environment and health was developed and approved jointly by the Ministry of Environment and Ministry of Health in 2011. However, open access to the primary or aggregated data in this domain is still lacking. Water quality and access to drinking water quality and sanitation are relatively well monitored. Data on air quality remains scarce and very scattered, without any programme to monitor in-door air pollution</w:t>
      </w:r>
      <w:r w:rsidRPr="00F43445">
        <w:rPr>
          <w:lang w:val="en-US"/>
        </w:rPr>
        <w:t>;</w:t>
      </w:r>
    </w:p>
    <w:p w:rsidR="00C06502" w:rsidRPr="00F43445" w:rsidRDefault="00C06502" w:rsidP="00C06502">
      <w:pPr>
        <w:pStyle w:val="ListBullet"/>
        <w:rPr>
          <w:lang w:val="en-US"/>
        </w:rPr>
      </w:pPr>
      <w:r w:rsidRPr="00F43445">
        <w:rPr>
          <w:b/>
          <w:i/>
          <w:lang w:val="en-US"/>
        </w:rPr>
        <w:t>Group 4 indicators - Economic opportunities and policy responses:</w:t>
      </w:r>
      <w:r w:rsidRPr="00F43445">
        <w:rPr>
          <w:lang w:val="en-US"/>
        </w:rPr>
        <w:t xml:space="preserve"> As in other countries, this is the least developed group of indicators. Some indicators, e.g. on research and development, and eco-innovation seem to be largely absent therefore the Consultant will have to identify surrogate indicators, where possible. Data </w:t>
      </w:r>
      <w:r w:rsidRPr="00F43445">
        <w:rPr>
          <w:bCs/>
          <w:sz w:val="24"/>
          <w:szCs w:val="24"/>
        </w:rPr>
        <w:t xml:space="preserve">on public environmental expenditure and pollution abatement costs by the private sector are not reliable and remain fragmented; </w:t>
      </w:r>
    </w:p>
    <w:p w:rsidR="00C06502" w:rsidRPr="00F43445" w:rsidRDefault="00C06502" w:rsidP="00C06502">
      <w:pPr>
        <w:pStyle w:val="ListBullet"/>
        <w:rPr>
          <w:lang w:val="en-US"/>
        </w:rPr>
      </w:pPr>
      <w:r w:rsidRPr="00F43445">
        <w:rPr>
          <w:b/>
          <w:i/>
          <w:lang w:val="en-US"/>
        </w:rPr>
        <w:t>Contextual information:</w:t>
      </w:r>
      <w:r w:rsidRPr="00F43445">
        <w:rPr>
          <w:lang w:val="en-US"/>
        </w:rPr>
        <w:t xml:space="preserve"> there has been good progress made on improving macro-economic and social statistics in the country and there is very high if not full concordance in this area with indicators that are necessary to understand the context. </w:t>
      </w:r>
    </w:p>
    <w:p w:rsidR="00C06502" w:rsidRPr="00F43445" w:rsidRDefault="00C06502" w:rsidP="00C06502">
      <w:pPr>
        <w:pStyle w:val="BodyText"/>
      </w:pPr>
      <w:r w:rsidRPr="00F43445">
        <w:t xml:space="preserve">The Consultant will take account of the fact that the OECD set of indicators represents a preliminary selection made on the basis of existing work and experience in the OECD, other international organisations, and member and partner countries. Gaps exist and some of the selected indicators are not currently measurable. At the indicator level, therefore, the set includes: (i) main indicators and their components or supplements, and (ii) proxy indicators when the main indicators are currently not measurable. The Consultant will therefore need to adapt proxy indicators where necessary. </w:t>
      </w:r>
    </w:p>
    <w:p w:rsidR="00C06502" w:rsidRPr="00F43445" w:rsidRDefault="00C06502" w:rsidP="00C06502">
      <w:pPr>
        <w:pStyle w:val="BodyText"/>
      </w:pPr>
      <w:r w:rsidRPr="00F43445">
        <w:rPr>
          <w:rFonts w:eastAsia="Calibri"/>
        </w:rPr>
        <w:t xml:space="preserve">As part of this assignment, the Consultant will apply lessons learned from the use of OECD green growth indicators in the EU and OECD member countries, including the Czech Republic, Denmark, Germany, Korea, Mexico, the Netherlands, the Slovak Republic, and Slovenia. </w:t>
      </w:r>
      <w:r w:rsidRPr="00F43445">
        <w:t>Some of these countries</w:t>
      </w:r>
      <w:r w:rsidRPr="00F43445">
        <w:rPr>
          <w:bCs/>
        </w:rPr>
        <w:t xml:space="preserve"> have included additional </w:t>
      </w:r>
      <w:r w:rsidRPr="00F43445">
        <w:t>indicators that are of national interest and importance, such as on water pricing and water extraction productivity, illness rate by waterborne diseases, human exposure to industrial risks, and environment-related government and municipal expenditures. The Consultant will consult with relevant stakeholders on the inclusion of indicators that are relevant for Moldova but not in the OECD set of green growth indicators.</w:t>
      </w:r>
    </w:p>
    <w:p w:rsidR="00C06502" w:rsidRPr="00F43445" w:rsidRDefault="00C06502" w:rsidP="00C06502">
      <w:pPr>
        <w:pStyle w:val="Heading2"/>
        <w:tabs>
          <w:tab w:val="clear" w:pos="4613"/>
          <w:tab w:val="num" w:pos="567"/>
        </w:tabs>
        <w:ind w:hanging="3533"/>
        <w:jc w:val="left"/>
        <w:rPr>
          <w:b/>
          <w:color w:val="000000"/>
          <w:sz w:val="22"/>
          <w:lang w:val="en-GB"/>
        </w:rPr>
      </w:pPr>
      <w:r w:rsidRPr="00F43445">
        <w:rPr>
          <w:b/>
          <w:color w:val="000000"/>
          <w:sz w:val="22"/>
          <w:lang w:val="en-GB"/>
        </w:rPr>
        <w:t>Benefits, criteria and feasibility of adopting the OECD set in the Republic of Moldova</w:t>
      </w:r>
    </w:p>
    <w:p w:rsidR="00C06502" w:rsidRPr="00F43445" w:rsidRDefault="00C06502" w:rsidP="00C06502"/>
    <w:p w:rsidR="00C06502" w:rsidRPr="00F43445" w:rsidRDefault="00C06502" w:rsidP="00C06502">
      <w:pPr>
        <w:pStyle w:val="BodyText"/>
        <w:keepNext/>
      </w:pPr>
      <w:r w:rsidRPr="00F43445">
        <w:lastRenderedPageBreak/>
        <w:t xml:space="preserve">In its communication with stakeholders, the Consultant will highlight the following benefits of adopting a better measurement framework for green growth: </w:t>
      </w:r>
    </w:p>
    <w:p w:rsidR="00C06502" w:rsidRPr="00F43445" w:rsidRDefault="00C06502" w:rsidP="00C06502">
      <w:pPr>
        <w:pStyle w:val="ListBullet"/>
        <w:keepNext/>
      </w:pPr>
      <w:r w:rsidRPr="00F43445">
        <w:t xml:space="preserve">The indicator groups and themes can serve as a starting point for discussing national priorities for green economy development; </w:t>
      </w:r>
    </w:p>
    <w:p w:rsidR="00C06502" w:rsidRPr="00F43445" w:rsidRDefault="00C06502" w:rsidP="00C06502">
      <w:pPr>
        <w:pStyle w:val="ListBullet"/>
      </w:pPr>
      <w:r w:rsidRPr="00F43445">
        <w:t>Adoption of GGIs can enhance the analytical basis for decision-making at the interface of economic and environmental policies;</w:t>
      </w:r>
    </w:p>
    <w:p w:rsidR="00C06502" w:rsidRPr="00F43445" w:rsidRDefault="00C06502" w:rsidP="00C06502">
      <w:pPr>
        <w:pStyle w:val="ListBullet"/>
      </w:pPr>
      <w:r w:rsidRPr="00F43445">
        <w:t>Due to its multi-disciplinary and multi-dimensional character, GGIs can foster the dialogue within the government, and with the private sector;</w:t>
      </w:r>
    </w:p>
    <w:p w:rsidR="00C06502" w:rsidRPr="00F43445" w:rsidRDefault="00C06502" w:rsidP="00C06502">
      <w:pPr>
        <w:pStyle w:val="ListBullet"/>
      </w:pPr>
      <w:r w:rsidRPr="00F43445">
        <w:t>The use of GGIs can help monitor progress, including in relation to international obligations, and enable benchmarking with other countries.</w:t>
      </w:r>
    </w:p>
    <w:p w:rsidR="00C06502" w:rsidRPr="00F43445" w:rsidRDefault="00C06502" w:rsidP="00C06502">
      <w:pPr>
        <w:pStyle w:val="ListBullet"/>
      </w:pPr>
      <w:r w:rsidRPr="00F43445">
        <w:t>The development of a report on green growth indicators can help identify important data gaps, as well as needs for better cooperation to establish a robust database to support work on the green economy</w:t>
      </w:r>
    </w:p>
    <w:p w:rsidR="00C06502" w:rsidRPr="00F43445" w:rsidRDefault="00C06502" w:rsidP="00C06502">
      <w:pPr>
        <w:pStyle w:val="BodyText"/>
      </w:pPr>
      <w:r w:rsidRPr="00F43445">
        <w:t xml:space="preserve">The Consultant will make sure that both indicators and their presentation helps to clarify the relationships between development goals (such as poverty reduction, competitiveness, increase of exports and penetration of new markets, and creating new jobs) and priorities of environmental protection (such as water resources management, waste management, conservation of biodiversity and ecosystems, and climate change adaptation). </w:t>
      </w:r>
    </w:p>
    <w:p w:rsidR="00C06502" w:rsidRPr="00F43445" w:rsidRDefault="00C06502" w:rsidP="00C06502">
      <w:pPr>
        <w:pStyle w:val="BodyText"/>
      </w:pPr>
      <w:r w:rsidRPr="00F43445">
        <w:t xml:space="preserve">The Consultant should aim to identifying a concise set of indicators. It is worth noting that in the past, examples existed of indicators being set for monitoring government strategies without due attention to the feasibility of their use. This resulted in failure to verify the impact of those strategies. </w:t>
      </w:r>
    </w:p>
    <w:p w:rsidR="00C06502" w:rsidRPr="00F43445" w:rsidRDefault="00C06502" w:rsidP="00C06502">
      <w:pPr>
        <w:pStyle w:val="BodyText"/>
      </w:pPr>
      <w:r w:rsidRPr="00F43445">
        <w:t xml:space="preserve">Open-source official data must be used whenever possible. </w:t>
      </w:r>
    </w:p>
    <w:p w:rsidR="00C06502" w:rsidRPr="00F43445" w:rsidRDefault="00C06502" w:rsidP="00C06502">
      <w:pPr>
        <w:pStyle w:val="Heading2"/>
        <w:tabs>
          <w:tab w:val="clear" w:pos="4613"/>
          <w:tab w:val="num" w:pos="567"/>
        </w:tabs>
        <w:ind w:hanging="3533"/>
        <w:jc w:val="left"/>
        <w:rPr>
          <w:b/>
          <w:color w:val="000000"/>
          <w:sz w:val="22"/>
          <w:lang w:val="en-GB"/>
        </w:rPr>
      </w:pPr>
      <w:r w:rsidRPr="00F43445">
        <w:rPr>
          <w:b/>
          <w:color w:val="000000"/>
          <w:sz w:val="22"/>
          <w:lang w:val="en-GB"/>
        </w:rPr>
        <w:t>Deliverables</w:t>
      </w:r>
    </w:p>
    <w:p w:rsidR="00C06502" w:rsidRPr="00F43445" w:rsidRDefault="00C06502" w:rsidP="00C06502"/>
    <w:p w:rsidR="00C06502" w:rsidRPr="00F43445" w:rsidRDefault="00C06502" w:rsidP="00C06502">
      <w:pPr>
        <w:pStyle w:val="BodyText"/>
      </w:pPr>
      <w:r w:rsidRPr="00F43445">
        <w:t>The Consultant will deliver the following outputs:</w:t>
      </w:r>
    </w:p>
    <w:p w:rsidR="00C06502" w:rsidRPr="00F43445" w:rsidRDefault="00C06502" w:rsidP="00C06502">
      <w:pPr>
        <w:pStyle w:val="ListBullet"/>
      </w:pPr>
      <w:r w:rsidRPr="00F43445">
        <w:t>Report outline in English and Romanian;</w:t>
      </w:r>
    </w:p>
    <w:p w:rsidR="00C06502" w:rsidRPr="00F43445" w:rsidRDefault="00C06502" w:rsidP="00C06502">
      <w:pPr>
        <w:pStyle w:val="ListBullet"/>
      </w:pPr>
      <w:r w:rsidRPr="00F43445">
        <w:t>A database (Excel or Access files) with collected data;</w:t>
      </w:r>
    </w:p>
    <w:p w:rsidR="00C06502" w:rsidRPr="00F43445" w:rsidRDefault="00C06502" w:rsidP="00C06502">
      <w:pPr>
        <w:pStyle w:val="ListBullet"/>
      </w:pPr>
      <w:r w:rsidRPr="00F43445">
        <w:t>Figures in Excel format presenting trends in Moldova together with an analysis of the conclusions that could be drawn from the indicators, including an assessment of progress in comparison with targets and performance in other countries;</w:t>
      </w:r>
    </w:p>
    <w:p w:rsidR="00C06502" w:rsidRPr="00F43445" w:rsidRDefault="00C06502" w:rsidP="00C06502">
      <w:pPr>
        <w:pStyle w:val="ListBullet"/>
      </w:pPr>
      <w:r w:rsidRPr="00F43445">
        <w:t>A draft indicator-based report in English and Romanian, including overall conclusions and recommendations;</w:t>
      </w:r>
    </w:p>
    <w:p w:rsidR="00C06502" w:rsidRPr="00F43445" w:rsidRDefault="00C06502" w:rsidP="00C06502">
      <w:pPr>
        <w:pStyle w:val="ListBullet"/>
      </w:pPr>
      <w:r w:rsidRPr="00F43445">
        <w:t xml:space="preserve">Presentations to relevant Government bodies, such as the National Economic Council, the Ministry of Economy, the Ministry of Environment,the National Bureau of Statistics; </w:t>
      </w:r>
    </w:p>
    <w:p w:rsidR="00C06502" w:rsidRPr="00F43445" w:rsidRDefault="00C06502" w:rsidP="00C06502">
      <w:pPr>
        <w:pStyle w:val="ListBullet"/>
      </w:pPr>
      <w:r w:rsidRPr="00F43445">
        <w:lastRenderedPageBreak/>
        <w:t>A final indicator-based report in Romanian and English (MS Word and PDF files, as well as ready-to-publish files produced with specialised software);</w:t>
      </w:r>
    </w:p>
    <w:p w:rsidR="00C06502" w:rsidRPr="00F43445" w:rsidRDefault="00C06502" w:rsidP="00C06502">
      <w:pPr>
        <w:pStyle w:val="ListBullet"/>
      </w:pPr>
      <w:r w:rsidRPr="00F43445">
        <w:t>Communication products related to the report (in English and Romanian).</w:t>
      </w:r>
    </w:p>
    <w:p w:rsidR="00C06502" w:rsidRPr="00F43445" w:rsidRDefault="00C06502" w:rsidP="00C06502">
      <w:pPr>
        <w:pStyle w:val="Heading2"/>
        <w:tabs>
          <w:tab w:val="clear" w:pos="4613"/>
          <w:tab w:val="num" w:pos="567"/>
        </w:tabs>
        <w:ind w:left="0" w:firstLine="0"/>
        <w:jc w:val="left"/>
        <w:rPr>
          <w:b/>
          <w:color w:val="000000"/>
          <w:sz w:val="22"/>
          <w:lang w:val="en-GB"/>
        </w:rPr>
      </w:pPr>
      <w:r w:rsidRPr="00F43445">
        <w:rPr>
          <w:b/>
          <w:color w:val="000000"/>
          <w:sz w:val="22"/>
          <w:lang w:val="en-GB"/>
        </w:rPr>
        <w:t xml:space="preserve">Schedule </w:t>
      </w:r>
    </w:p>
    <w:p w:rsidR="00C06502" w:rsidRPr="00F43445" w:rsidRDefault="00C06502" w:rsidP="00C06502">
      <w:pPr>
        <w:tabs>
          <w:tab w:val="num" w:pos="567"/>
        </w:tabs>
      </w:pPr>
    </w:p>
    <w:p w:rsidR="00C06502" w:rsidRPr="00DA39CB" w:rsidRDefault="00C06502" w:rsidP="00C06502">
      <w:pPr>
        <w:pStyle w:val="BodyText"/>
      </w:pPr>
      <w:r w:rsidRPr="00F43445">
        <w:t>The Consultant will present a detailed schedule of project implementation that would target the delivery of the final report by June 2014 within a week from contract signature. Within the same period, the report’s outline will have to be discussed. The delivery of an intermediate draft will have to be aligned with a high-level meeting on environment and development, which is now being discussed between the Prime Minister’s Office and UNDP Moldova (date to be confirmed).</w:t>
      </w:r>
    </w:p>
    <w:p w:rsidR="00C06502" w:rsidRPr="009E7DFE" w:rsidRDefault="00C06502" w:rsidP="00C06502">
      <w:pPr>
        <w:rPr>
          <w:color w:val="000000"/>
          <w:sz w:val="22"/>
        </w:rPr>
      </w:pPr>
    </w:p>
    <w:p w:rsidR="00274F9F" w:rsidRDefault="00274F9F"/>
    <w:sectPr w:rsidR="00274F9F" w:rsidSect="00D15AF9">
      <w:headerReference w:type="default" r:id="rId8"/>
      <w:footerReference w:type="default" r:id="rId9"/>
      <w:pgSz w:w="11907" w:h="16840" w:code="9"/>
      <w:pgMar w:top="1985" w:right="1247" w:bottom="1814" w:left="1191" w:header="1247" w:footer="1865"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4A1" w:rsidRDefault="00D604A1" w:rsidP="003912CD">
      <w:r>
        <w:separator/>
      </w:r>
    </w:p>
  </w:endnote>
  <w:endnote w:type="continuationSeparator" w:id="1">
    <w:p w:rsidR="00D604A1" w:rsidRDefault="00D604A1" w:rsidP="003912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New Roman Bold">
    <w:panose1 w:val="00000000000000000000"/>
    <w:charset w:val="00"/>
    <w:family w:val="roman"/>
    <w:notTrueType/>
    <w:pitch w:val="default"/>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a">
    <w:altName w:val="SimSun"/>
    <w:panose1 w:val="00000000000000000000"/>
    <w:charset w:val="00"/>
    <w:family w:val="roman"/>
    <w:notTrueType/>
    <w:pitch w:val="default"/>
    <w:sig w:usb0="00410003" w:usb1="00690072" w:usb2="006C0061" w:usb3="004E0020" w:csb0="00720061" w:csb1="006F0072"/>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88" w:rsidRDefault="00CE6F43">
    <w:pPr>
      <w:pStyle w:val="Footer"/>
    </w:pPr>
    <w:r w:rsidRPr="00CE6F43">
      <w:rPr>
        <w:noProof/>
        <w:lang w:eastAsia="en-GB"/>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4098" type="#_x0000_t185" style="position:absolute;margin-left:280.1pt;margin-top:737.3pt;width:47.35pt;height:18.8pt;z-index:251660288;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" filled="t" strokecolor="gray" strokeweight="2.25pt">
          <v:textbox inset=",0,,0">
            <w:txbxContent>
              <w:p w:rsidR="00225288" w:rsidRDefault="00CE6F43">
                <w:pPr>
                  <w:jc w:val="center"/>
                </w:pPr>
                <w:r>
                  <w:fldChar w:fldCharType="begin"/>
                </w:r>
                <w:r w:rsidR="00000CFA">
                  <w:instrText xml:space="preserve"> PAGE    \* MERGEFORMAT </w:instrText>
                </w:r>
                <w:r>
                  <w:fldChar w:fldCharType="separate"/>
                </w:r>
                <w:r w:rsidR="00B1475F">
                  <w:rPr>
                    <w:noProof/>
                  </w:rPr>
                  <w:t>5</w:t>
                </w:r>
                <w:r>
                  <w:fldChar w:fldCharType="end"/>
                </w:r>
              </w:p>
            </w:txbxContent>
          </v:textbox>
          <w10:wrap anchorx="page" anchory="page"/>
        </v:shape>
      </w:pict>
    </w:r>
    <w:r w:rsidRPr="00CE6F43">
      <w:rPr>
        <w:noProof/>
        <w:lang w:eastAsia="en-GB"/>
      </w:rPr>
      <w:pict>
        <v:shapetype id="_x0000_t32" coordsize="21600,21600" o:spt="32" o:oned="t" path="m,l21600,21600e" filled="f">
          <v:path arrowok="t" fillok="f" o:connecttype="none"/>
          <o:lock v:ext="edit" shapetype="t"/>
        </v:shapetype>
        <v:shape id="Straight Arrow Connector 1" o:spid="_x0000_s4097" type="#_x0000_t32" style="position:absolute;margin-left:87.35pt;margin-top:746.75pt;width:434.5pt;height:0;z-index:251659264;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" strokecolor="gray" strokeweight="1pt">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4A1" w:rsidRDefault="00D604A1" w:rsidP="003912CD">
      <w:r>
        <w:separator/>
      </w:r>
    </w:p>
  </w:footnote>
  <w:footnote w:type="continuationSeparator" w:id="1">
    <w:p w:rsidR="00D604A1" w:rsidRDefault="00D604A1" w:rsidP="003912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5F" w:rsidRDefault="00B1475F">
    <w:pPr>
      <w:pStyle w:val="Header"/>
    </w:pPr>
    <w:r>
      <w:rPr>
        <w:noProof/>
        <w:lang w:val="ro-RO" w:eastAsia="ro-RO"/>
      </w:rPr>
      <w:drawing>
        <wp:anchor distT="0" distB="0" distL="114300" distR="114300" simplePos="0" relativeHeight="251662336" behindDoc="0" locked="0" layoutInCell="1" allowOverlap="1">
          <wp:simplePos x="0" y="0"/>
          <wp:positionH relativeFrom="column">
            <wp:posOffset>4215765</wp:posOffset>
          </wp:positionH>
          <wp:positionV relativeFrom="paragraph">
            <wp:posOffset>-572770</wp:posOffset>
          </wp:positionV>
          <wp:extent cx="1762125" cy="361950"/>
          <wp:effectExtent l="19050" t="0" r="9525" b="0"/>
          <wp:wrapNone/>
          <wp:docPr id="3" name="Picture 2" descr="C:\Users\Ana\Desktop\Misc\logo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Desktop\Misc\logo_en.png"/>
                  <pic:cNvPicPr>
                    <a:picLocks noChangeAspect="1" noChangeArrowheads="1"/>
                  </pic:cNvPicPr>
                </pic:nvPicPr>
                <pic:blipFill>
                  <a:blip r:embed="rId1"/>
                  <a:srcRect/>
                  <a:stretch>
                    <a:fillRect/>
                  </a:stretch>
                </pic:blipFill>
                <pic:spPr bwMode="auto">
                  <a:xfrm>
                    <a:off x="0" y="0"/>
                    <a:ext cx="1762125" cy="361950"/>
                  </a:xfrm>
                  <a:prstGeom prst="rect">
                    <a:avLst/>
                  </a:prstGeom>
                  <a:noFill/>
                  <a:ln w="9525">
                    <a:noFill/>
                    <a:miter lim="800000"/>
                    <a:headEnd/>
                    <a:tailEnd/>
                  </a:ln>
                </pic:spPr>
              </pic:pic>
            </a:graphicData>
          </a:graphic>
        </wp:anchor>
      </w:drawing>
    </w:r>
    <w:r w:rsidRPr="00B1475F">
      <w:drawing>
        <wp:anchor distT="0" distB="0" distL="114300" distR="114300" simplePos="0" relativeHeight="251661312" behindDoc="1" locked="0" layoutInCell="1" allowOverlap="1">
          <wp:simplePos x="0" y="0"/>
          <wp:positionH relativeFrom="column">
            <wp:posOffset>-118110</wp:posOffset>
          </wp:positionH>
          <wp:positionV relativeFrom="paragraph">
            <wp:posOffset>-696595</wp:posOffset>
          </wp:positionV>
          <wp:extent cx="1533525" cy="1066800"/>
          <wp:effectExtent l="19050" t="0" r="9525" b="0"/>
          <wp:wrapNone/>
          <wp:docPr id="2" name="Picture 1" descr="C:\Users\Ana\Desktop\green econ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Desktop\green economy.jpg"/>
                  <pic:cNvPicPr>
                    <a:picLocks noChangeAspect="1" noChangeArrowheads="1"/>
                  </pic:cNvPicPr>
                </pic:nvPicPr>
                <pic:blipFill>
                  <a:blip r:embed="rId2"/>
                  <a:srcRect/>
                  <a:stretch>
                    <a:fillRect/>
                  </a:stretch>
                </pic:blipFill>
                <pic:spPr bwMode="auto">
                  <a:xfrm>
                    <a:off x="0" y="0"/>
                    <a:ext cx="1533525" cy="10668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90F62"/>
    <w:multiLevelType w:val="singleLevel"/>
    <w:tmpl w:val="41606694"/>
    <w:name w:val="templateBullet1"/>
    <w:lvl w:ilvl="0">
      <w:start w:val="1"/>
      <w:numFmt w:val="bullet"/>
      <w:pStyle w:val="ListBullet"/>
      <w:lvlText w:val="·"/>
      <w:lvlJc w:val="left"/>
      <w:pPr>
        <w:tabs>
          <w:tab w:val="num" w:pos="850"/>
        </w:tabs>
        <w:ind w:left="850" w:hanging="408"/>
      </w:pPr>
      <w:rPr>
        <w:rFonts w:ascii="Symbol" w:hAnsi="Symbol" w:cs="Times New Roman" w:hint="default"/>
        <w:b w:val="0"/>
        <w:i w:val="0"/>
        <w:sz w:val="22"/>
      </w:rPr>
    </w:lvl>
  </w:abstractNum>
  <w:abstractNum w:abstractNumId="1">
    <w:nsid w:val="2F6F7C24"/>
    <w:multiLevelType w:val="multilevel"/>
    <w:tmpl w:val="D4E00FFC"/>
    <w:lvl w:ilvl="0">
      <w:start w:val="1"/>
      <w:numFmt w:val="decimal"/>
      <w:pStyle w:val="Heading1"/>
      <w:lvlText w:val="%1."/>
      <w:lvlJc w:val="left"/>
      <w:pPr>
        <w:tabs>
          <w:tab w:val="num" w:pos="360"/>
        </w:tabs>
        <w:ind w:left="0" w:firstLine="0"/>
      </w:pPr>
      <w:rPr>
        <w:rFonts w:ascii="Times New Roman Bold" w:hAnsi="Courier" w:hint="default"/>
        <w:b/>
        <w:i w:val="0"/>
        <w:sz w:val="20"/>
      </w:rPr>
    </w:lvl>
    <w:lvl w:ilvl="1">
      <w:start w:val="1"/>
      <w:numFmt w:val="decimal"/>
      <w:pStyle w:val="Heading2"/>
      <w:lvlText w:val="%1.%2"/>
      <w:lvlJc w:val="left"/>
      <w:pPr>
        <w:tabs>
          <w:tab w:val="num" w:pos="4613"/>
        </w:tabs>
        <w:ind w:left="3533" w:firstLine="720"/>
      </w:pPr>
      <w:rPr>
        <w:rFonts w:ascii="Times New Roman Bold" w:hAnsi="Courier" w:hint="default"/>
        <w:b/>
        <w:i w:val="0"/>
        <w:sz w:val="20"/>
      </w:rPr>
    </w:lvl>
    <w:lvl w:ilvl="2">
      <w:start w:val="1"/>
      <w:numFmt w:val="decimal"/>
      <w:pStyle w:val="Heading3"/>
      <w:lvlText w:val="%1.%2.%3"/>
      <w:lvlJc w:val="left"/>
      <w:pPr>
        <w:tabs>
          <w:tab w:val="num" w:pos="1440"/>
        </w:tabs>
        <w:ind w:left="0" w:firstLine="720"/>
      </w:pPr>
      <w:rPr>
        <w:rFonts w:ascii="a" w:hAnsi="Courier" w:hint="default"/>
        <w:b/>
        <w:i w:val="0"/>
        <w:sz w:val="20"/>
      </w:rPr>
    </w:lvl>
    <w:lvl w:ilvl="3">
      <w:start w:val="1"/>
      <w:numFmt w:val="lowerLetter"/>
      <w:pStyle w:val="Heading4"/>
      <w:lvlText w:val="(%4)"/>
      <w:lvlJc w:val="left"/>
      <w:pPr>
        <w:tabs>
          <w:tab w:val="num" w:pos="1800"/>
        </w:tabs>
        <w:ind w:left="0" w:firstLine="1440"/>
      </w:pPr>
      <w:rPr>
        <w:rFonts w:ascii="Arial" w:hAnsi="Arial" w:hint="default"/>
        <w:sz w:val="20"/>
      </w:rPr>
    </w:lvl>
    <w:lvl w:ilvl="4">
      <w:start w:val="1"/>
      <w:numFmt w:val="lowerRoman"/>
      <w:pStyle w:val="Heading5"/>
      <w:lvlText w:val="(%5)"/>
      <w:lvlJc w:val="left"/>
      <w:pPr>
        <w:tabs>
          <w:tab w:val="num" w:pos="2880"/>
        </w:tabs>
        <w:ind w:left="720" w:firstLine="1440"/>
      </w:pPr>
      <w:rPr>
        <w:rFonts w:ascii="a" w:hAnsi="Courier" w:hint="default"/>
        <w:sz w:val="20"/>
      </w:r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7170"/>
    <o:shapelayout v:ext="edit">
      <o:idmap v:ext="edit" data="4"/>
      <o:rules v:ext="edit">
        <o:r id="V:Rule2" type="connector" idref="#Straight Arrow Connector 1"/>
      </o:rules>
    </o:shapelayout>
  </w:hdrShapeDefaults>
  <w:footnotePr>
    <w:footnote w:id="0"/>
    <w:footnote w:id="1"/>
  </w:footnotePr>
  <w:endnotePr>
    <w:endnote w:id="0"/>
    <w:endnote w:id="1"/>
  </w:endnotePr>
  <w:compat/>
  <w:rsids>
    <w:rsidRoot w:val="00C06502"/>
    <w:rsid w:val="00000CFA"/>
    <w:rsid w:val="00274F9F"/>
    <w:rsid w:val="003912CD"/>
    <w:rsid w:val="005740B0"/>
    <w:rsid w:val="00577B33"/>
    <w:rsid w:val="009F3598"/>
    <w:rsid w:val="00B1475F"/>
    <w:rsid w:val="00C06502"/>
    <w:rsid w:val="00CE6F43"/>
    <w:rsid w:val="00D604A1"/>
    <w:rsid w:val="00D66106"/>
    <w:rsid w:val="00EC1668"/>
    <w:rsid w:val="00F4344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0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autoRedefine/>
    <w:qFormat/>
    <w:rsid w:val="00C06502"/>
    <w:pPr>
      <w:numPr>
        <w:numId w:val="1"/>
      </w:numPr>
      <w:tabs>
        <w:tab w:val="clear" w:pos="360"/>
        <w:tab w:val="num" w:pos="720"/>
      </w:tabs>
      <w:spacing w:before="40" w:after="40"/>
      <w:jc w:val="both"/>
      <w:outlineLvl w:val="0"/>
    </w:pPr>
    <w:rPr>
      <w:kern w:val="28"/>
      <w:sz w:val="16"/>
      <w:lang w:val="en-US"/>
    </w:rPr>
  </w:style>
  <w:style w:type="paragraph" w:styleId="Heading2">
    <w:name w:val="heading 2"/>
    <w:basedOn w:val="Heading1"/>
    <w:next w:val="Normal"/>
    <w:link w:val="Heading2Char"/>
    <w:qFormat/>
    <w:rsid w:val="00C06502"/>
    <w:pPr>
      <w:numPr>
        <w:ilvl w:val="1"/>
      </w:numPr>
      <w:jc w:val="center"/>
      <w:outlineLvl w:val="1"/>
    </w:pPr>
  </w:style>
  <w:style w:type="paragraph" w:styleId="Heading3">
    <w:name w:val="heading 3"/>
    <w:basedOn w:val="Heading2"/>
    <w:next w:val="Normal"/>
    <w:link w:val="Heading3Char"/>
    <w:autoRedefine/>
    <w:qFormat/>
    <w:rsid w:val="00C06502"/>
    <w:pPr>
      <w:numPr>
        <w:ilvl w:val="2"/>
      </w:numPr>
      <w:outlineLvl w:val="2"/>
    </w:pPr>
  </w:style>
  <w:style w:type="paragraph" w:styleId="Heading4">
    <w:name w:val="heading 4"/>
    <w:basedOn w:val="Normal"/>
    <w:next w:val="Normal"/>
    <w:link w:val="Heading4Char"/>
    <w:qFormat/>
    <w:rsid w:val="00C06502"/>
    <w:pPr>
      <w:keepNext/>
      <w:numPr>
        <w:ilvl w:val="3"/>
        <w:numId w:val="1"/>
      </w:numPr>
      <w:spacing w:before="240" w:after="60"/>
      <w:outlineLvl w:val="3"/>
    </w:pPr>
    <w:rPr>
      <w:b/>
      <w:i/>
      <w:sz w:val="24"/>
      <w:lang w:val="en-US"/>
    </w:rPr>
  </w:style>
  <w:style w:type="paragraph" w:styleId="Heading5">
    <w:name w:val="heading 5"/>
    <w:basedOn w:val="Normal"/>
    <w:next w:val="Normal"/>
    <w:link w:val="Heading5Char"/>
    <w:qFormat/>
    <w:rsid w:val="00C06502"/>
    <w:pPr>
      <w:numPr>
        <w:ilvl w:val="4"/>
        <w:numId w:val="1"/>
      </w:numPr>
      <w:spacing w:before="240" w:after="60"/>
      <w:outlineLvl w:val="4"/>
    </w:pPr>
    <w:rPr>
      <w:rFonts w:ascii="Arial" w:hAnsi="Arial"/>
      <w:sz w:val="22"/>
      <w:lang w:val="en-US"/>
    </w:rPr>
  </w:style>
  <w:style w:type="paragraph" w:styleId="Heading6">
    <w:name w:val="heading 6"/>
    <w:basedOn w:val="Normal"/>
    <w:next w:val="Normal"/>
    <w:link w:val="Heading6Char"/>
    <w:qFormat/>
    <w:rsid w:val="00C06502"/>
    <w:pPr>
      <w:numPr>
        <w:ilvl w:val="5"/>
        <w:numId w:val="1"/>
      </w:numPr>
      <w:spacing w:before="240" w:after="60"/>
      <w:outlineLvl w:val="5"/>
    </w:pPr>
    <w:rPr>
      <w:rFonts w:ascii="Arial" w:hAnsi="Arial"/>
      <w:i/>
      <w:sz w:val="22"/>
      <w:lang w:val="en-US"/>
    </w:rPr>
  </w:style>
  <w:style w:type="paragraph" w:styleId="Heading7">
    <w:name w:val="heading 7"/>
    <w:basedOn w:val="Normal"/>
    <w:next w:val="Normal"/>
    <w:link w:val="Heading7Char"/>
    <w:qFormat/>
    <w:rsid w:val="00C06502"/>
    <w:pPr>
      <w:numPr>
        <w:ilvl w:val="6"/>
        <w:numId w:val="1"/>
      </w:numPr>
      <w:spacing w:before="240" w:after="60"/>
      <w:outlineLvl w:val="6"/>
    </w:pPr>
    <w:rPr>
      <w:rFonts w:ascii="Arial" w:hAnsi="Arial"/>
      <w:lang w:val="en-US"/>
    </w:rPr>
  </w:style>
  <w:style w:type="paragraph" w:styleId="Heading8">
    <w:name w:val="heading 8"/>
    <w:basedOn w:val="Normal"/>
    <w:next w:val="Normal"/>
    <w:link w:val="Heading8Char"/>
    <w:qFormat/>
    <w:rsid w:val="00C06502"/>
    <w:pPr>
      <w:numPr>
        <w:ilvl w:val="7"/>
        <w:numId w:val="1"/>
      </w:numPr>
      <w:spacing w:before="240" w:after="60"/>
      <w:outlineLvl w:val="7"/>
    </w:pPr>
    <w:rPr>
      <w:rFonts w:ascii="Arial" w:hAnsi="Arial"/>
      <w:i/>
      <w:lang w:val="en-US"/>
    </w:rPr>
  </w:style>
  <w:style w:type="paragraph" w:styleId="Heading9">
    <w:name w:val="heading 9"/>
    <w:basedOn w:val="Normal"/>
    <w:next w:val="Normal"/>
    <w:link w:val="Heading9Char"/>
    <w:qFormat/>
    <w:rsid w:val="00C06502"/>
    <w:pPr>
      <w:numPr>
        <w:ilvl w:val="8"/>
        <w:numId w:val="1"/>
      </w:numPr>
      <w:spacing w:before="240" w:after="60"/>
      <w:outlineLvl w:val="8"/>
    </w:pPr>
    <w:rPr>
      <w:rFonts w:ascii="Arial" w:hAnsi="Arial"/>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502"/>
    <w:rPr>
      <w:rFonts w:ascii="Times New Roman" w:eastAsia="Times New Roman" w:hAnsi="Times New Roman" w:cs="Times New Roman"/>
      <w:kern w:val="28"/>
      <w:sz w:val="16"/>
      <w:szCs w:val="20"/>
      <w:lang w:val="en-US"/>
    </w:rPr>
  </w:style>
  <w:style w:type="character" w:customStyle="1" w:styleId="Heading2Char">
    <w:name w:val="Heading 2 Char"/>
    <w:basedOn w:val="DefaultParagraphFont"/>
    <w:link w:val="Heading2"/>
    <w:rsid w:val="00C06502"/>
    <w:rPr>
      <w:rFonts w:ascii="Times New Roman" w:eastAsia="Times New Roman" w:hAnsi="Times New Roman" w:cs="Times New Roman"/>
      <w:kern w:val="28"/>
      <w:sz w:val="16"/>
      <w:szCs w:val="20"/>
      <w:lang w:val="en-US"/>
    </w:rPr>
  </w:style>
  <w:style w:type="character" w:customStyle="1" w:styleId="Heading3Char">
    <w:name w:val="Heading 3 Char"/>
    <w:basedOn w:val="DefaultParagraphFont"/>
    <w:link w:val="Heading3"/>
    <w:rsid w:val="00C06502"/>
    <w:rPr>
      <w:rFonts w:ascii="Times New Roman" w:eastAsia="Times New Roman" w:hAnsi="Times New Roman" w:cs="Times New Roman"/>
      <w:kern w:val="28"/>
      <w:sz w:val="16"/>
      <w:szCs w:val="20"/>
      <w:lang w:val="en-US"/>
    </w:rPr>
  </w:style>
  <w:style w:type="character" w:customStyle="1" w:styleId="Heading4Char">
    <w:name w:val="Heading 4 Char"/>
    <w:basedOn w:val="DefaultParagraphFont"/>
    <w:link w:val="Heading4"/>
    <w:rsid w:val="00C06502"/>
    <w:rPr>
      <w:rFonts w:ascii="Times New Roman" w:eastAsia="Times New Roman" w:hAnsi="Times New Roman" w:cs="Times New Roman"/>
      <w:b/>
      <w:i/>
      <w:sz w:val="24"/>
      <w:szCs w:val="20"/>
      <w:lang w:val="en-US"/>
    </w:rPr>
  </w:style>
  <w:style w:type="character" w:customStyle="1" w:styleId="Heading5Char">
    <w:name w:val="Heading 5 Char"/>
    <w:basedOn w:val="DefaultParagraphFont"/>
    <w:link w:val="Heading5"/>
    <w:rsid w:val="00C06502"/>
    <w:rPr>
      <w:rFonts w:ascii="Arial" w:eastAsia="Times New Roman" w:hAnsi="Arial" w:cs="Times New Roman"/>
      <w:szCs w:val="20"/>
      <w:lang w:val="en-US"/>
    </w:rPr>
  </w:style>
  <w:style w:type="character" w:customStyle="1" w:styleId="Heading6Char">
    <w:name w:val="Heading 6 Char"/>
    <w:basedOn w:val="DefaultParagraphFont"/>
    <w:link w:val="Heading6"/>
    <w:rsid w:val="00C06502"/>
    <w:rPr>
      <w:rFonts w:ascii="Arial" w:eastAsia="Times New Roman" w:hAnsi="Arial" w:cs="Times New Roman"/>
      <w:i/>
      <w:szCs w:val="20"/>
      <w:lang w:val="en-US"/>
    </w:rPr>
  </w:style>
  <w:style w:type="character" w:customStyle="1" w:styleId="Heading7Char">
    <w:name w:val="Heading 7 Char"/>
    <w:basedOn w:val="DefaultParagraphFont"/>
    <w:link w:val="Heading7"/>
    <w:rsid w:val="00C06502"/>
    <w:rPr>
      <w:rFonts w:ascii="Arial" w:eastAsia="Times New Roman" w:hAnsi="Arial" w:cs="Times New Roman"/>
      <w:sz w:val="20"/>
      <w:szCs w:val="20"/>
      <w:lang w:val="en-US"/>
    </w:rPr>
  </w:style>
  <w:style w:type="character" w:customStyle="1" w:styleId="Heading8Char">
    <w:name w:val="Heading 8 Char"/>
    <w:basedOn w:val="DefaultParagraphFont"/>
    <w:link w:val="Heading8"/>
    <w:rsid w:val="00C06502"/>
    <w:rPr>
      <w:rFonts w:ascii="Arial" w:eastAsia="Times New Roman" w:hAnsi="Arial" w:cs="Times New Roman"/>
      <w:i/>
      <w:sz w:val="20"/>
      <w:szCs w:val="20"/>
      <w:lang w:val="en-US"/>
    </w:rPr>
  </w:style>
  <w:style w:type="character" w:customStyle="1" w:styleId="Heading9Char">
    <w:name w:val="Heading 9 Char"/>
    <w:basedOn w:val="DefaultParagraphFont"/>
    <w:link w:val="Heading9"/>
    <w:rsid w:val="00C06502"/>
    <w:rPr>
      <w:rFonts w:ascii="Arial" w:eastAsia="Times New Roman" w:hAnsi="Arial" w:cs="Times New Roman"/>
      <w:i/>
      <w:sz w:val="18"/>
      <w:szCs w:val="20"/>
      <w:lang w:val="en-US"/>
    </w:rPr>
  </w:style>
  <w:style w:type="paragraph" w:styleId="Footer">
    <w:name w:val="footer"/>
    <w:basedOn w:val="Normal"/>
    <w:link w:val="FooterChar"/>
    <w:uiPriority w:val="99"/>
    <w:unhideWhenUsed/>
    <w:rsid w:val="00C06502"/>
    <w:pPr>
      <w:tabs>
        <w:tab w:val="center" w:pos="4680"/>
        <w:tab w:val="right" w:pos="9360"/>
      </w:tabs>
    </w:pPr>
  </w:style>
  <w:style w:type="character" w:customStyle="1" w:styleId="FooterChar">
    <w:name w:val="Footer Char"/>
    <w:basedOn w:val="DefaultParagraphFont"/>
    <w:link w:val="Footer"/>
    <w:uiPriority w:val="99"/>
    <w:rsid w:val="00C06502"/>
    <w:rPr>
      <w:rFonts w:ascii="Times New Roman" w:eastAsia="Times New Roman" w:hAnsi="Times New Roman" w:cs="Times New Roman"/>
      <w:sz w:val="20"/>
      <w:szCs w:val="20"/>
    </w:rPr>
  </w:style>
  <w:style w:type="paragraph" w:styleId="BodyText">
    <w:name w:val="Body Text"/>
    <w:basedOn w:val="Normal"/>
    <w:link w:val="BodyTextChar"/>
    <w:rsid w:val="00C06502"/>
    <w:pPr>
      <w:tabs>
        <w:tab w:val="left" w:pos="850"/>
        <w:tab w:val="left" w:pos="1191"/>
        <w:tab w:val="left" w:pos="1531"/>
      </w:tabs>
      <w:spacing w:after="240"/>
      <w:ind w:firstLine="442"/>
      <w:jc w:val="both"/>
    </w:pPr>
    <w:rPr>
      <w:color w:val="000000"/>
      <w:kern w:val="28"/>
      <w:sz w:val="22"/>
    </w:rPr>
  </w:style>
  <w:style w:type="character" w:customStyle="1" w:styleId="BodyTextChar">
    <w:name w:val="Body Text Char"/>
    <w:basedOn w:val="DefaultParagraphFont"/>
    <w:link w:val="BodyText"/>
    <w:rsid w:val="00C06502"/>
    <w:rPr>
      <w:rFonts w:ascii="Times New Roman" w:eastAsia="Times New Roman" w:hAnsi="Times New Roman" w:cs="Times New Roman"/>
      <w:color w:val="000000"/>
      <w:kern w:val="28"/>
      <w:szCs w:val="20"/>
    </w:rPr>
  </w:style>
  <w:style w:type="paragraph" w:styleId="ListBullet">
    <w:name w:val="List Bullet"/>
    <w:aliases w:val="myr,Char1,List Bullet Char Char Char Char Char Char Char Char Char Char Char Char Char Char Char Char Char"/>
    <w:basedOn w:val="Normal"/>
    <w:rsid w:val="00C06502"/>
    <w:pPr>
      <w:numPr>
        <w:numId w:val="2"/>
      </w:numPr>
      <w:spacing w:after="240"/>
      <w:jc w:val="both"/>
    </w:pPr>
    <w:rPr>
      <w:color w:val="000000"/>
      <w:kern w:val="28"/>
      <w:sz w:val="22"/>
    </w:rPr>
  </w:style>
  <w:style w:type="paragraph" w:styleId="BalloonText">
    <w:name w:val="Balloon Text"/>
    <w:basedOn w:val="Normal"/>
    <w:link w:val="BalloonTextChar"/>
    <w:uiPriority w:val="99"/>
    <w:semiHidden/>
    <w:unhideWhenUsed/>
    <w:rsid w:val="00B1475F"/>
    <w:rPr>
      <w:rFonts w:ascii="Tahoma" w:hAnsi="Tahoma" w:cs="Tahoma"/>
      <w:sz w:val="16"/>
      <w:szCs w:val="16"/>
    </w:rPr>
  </w:style>
  <w:style w:type="character" w:customStyle="1" w:styleId="BalloonTextChar">
    <w:name w:val="Balloon Text Char"/>
    <w:basedOn w:val="DefaultParagraphFont"/>
    <w:link w:val="BalloonText"/>
    <w:uiPriority w:val="99"/>
    <w:semiHidden/>
    <w:rsid w:val="00B1475F"/>
    <w:rPr>
      <w:rFonts w:ascii="Tahoma" w:eastAsia="Times New Roman" w:hAnsi="Tahoma" w:cs="Tahoma"/>
      <w:sz w:val="16"/>
      <w:szCs w:val="16"/>
    </w:rPr>
  </w:style>
  <w:style w:type="paragraph" w:styleId="Header">
    <w:name w:val="header"/>
    <w:basedOn w:val="Normal"/>
    <w:link w:val="HeaderChar"/>
    <w:uiPriority w:val="99"/>
    <w:semiHidden/>
    <w:unhideWhenUsed/>
    <w:rsid w:val="00B1475F"/>
    <w:pPr>
      <w:tabs>
        <w:tab w:val="center" w:pos="4536"/>
        <w:tab w:val="right" w:pos="9072"/>
      </w:tabs>
    </w:pPr>
  </w:style>
  <w:style w:type="character" w:customStyle="1" w:styleId="HeaderChar">
    <w:name w:val="Header Char"/>
    <w:basedOn w:val="DefaultParagraphFont"/>
    <w:link w:val="Header"/>
    <w:uiPriority w:val="99"/>
    <w:semiHidden/>
    <w:rsid w:val="00B1475F"/>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32EFE-B656-4E4D-B0B9-B4CB5EEE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1846</Words>
  <Characters>10712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Ana</cp:lastModifiedBy>
  <cp:revision>4</cp:revision>
  <dcterms:created xsi:type="dcterms:W3CDTF">2014-02-17T07:11:00Z</dcterms:created>
  <dcterms:modified xsi:type="dcterms:W3CDTF">2014-02-17T08:53:00Z</dcterms:modified>
</cp:coreProperties>
</file>